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C359" w14:textId="77777777" w:rsidR="00483603" w:rsidRDefault="00483603" w:rsidP="00483603">
      <w:pPr>
        <w:shd w:val="clear" w:color="auto" w:fill="FFFFFF"/>
        <w:spacing w:before="720" w:after="360" w:line="570" w:lineRule="atLeast"/>
        <w:outlineLvl w:val="1"/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</w:pPr>
      <w:proofErr w:type="spellStart"/>
      <w:r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  <w:t>Αυξησεις</w:t>
      </w:r>
      <w:proofErr w:type="spellEnd"/>
      <w:r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  <w:t xml:space="preserve">  εξωκοινοβουλευτικών Υπουργών </w:t>
      </w:r>
    </w:p>
    <w:p w14:paraId="6E69F893" w14:textId="5B9AEF51" w:rsidR="00483603" w:rsidRPr="00483603" w:rsidRDefault="00483603" w:rsidP="00483603">
      <w:pPr>
        <w:shd w:val="clear" w:color="auto" w:fill="FFFFFF"/>
        <w:spacing w:before="720" w:after="360" w:line="570" w:lineRule="atLeast"/>
        <w:outlineLvl w:val="1"/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</w:pPr>
      <w:r w:rsidRPr="00483603"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  <w:t xml:space="preserve">Η </w:t>
      </w:r>
      <w:r w:rsidR="0008316A"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  <w:t xml:space="preserve"> τροπολογία </w:t>
      </w:r>
      <w:r w:rsidRPr="00483603"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  <w:t>ορίζει ότι:</w:t>
      </w:r>
    </w:p>
    <w:p w14:paraId="72720E85" w14:textId="77777777" w:rsidR="00483603" w:rsidRPr="00483603" w:rsidRDefault="00483603" w:rsidP="0048360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</w:pPr>
      <w:r w:rsidRPr="0048360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1.</w:t>
      </w:r>
      <w:r w:rsidRPr="0048360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 Οι μικτές μηνιαίες αποδοχές υπουργών και αναπληρωτών υπουργών που δεν έχουν τη βουλευτική ιδιότητα καθορίζονται σε ποσοστό ενενήντα τοις εκατό (90%) των μικτών μηνιαίων αποδοχών και επιδομάτων του προέδρου του Αρείου Πάγου, όπως αυτές ορίζονται με τον εκάστοτε μισθολογικό νόμο για τις αποδοχές των δικαστικών λειτουργών.</w:t>
      </w:r>
    </w:p>
    <w:p w14:paraId="1CA3EC8B" w14:textId="77777777" w:rsidR="00483603" w:rsidRPr="00483603" w:rsidRDefault="00483603" w:rsidP="0048360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</w:pPr>
      <w:r w:rsidRPr="0048360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2.</w:t>
      </w:r>
      <w:r w:rsidRPr="0048360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 Οι μικτές μηνιαίες αποδοχές υφυπουργών που δεν έχουν τη βουλευτική ιδιότητα καθορίζονται σε ποσοστό ογδόντα τοις εκατό (80%) των μικτών μηνιαίων αποδοχών και επιδομάτων του προέδρου του Αρείου Πάγου, όπως αυτές ορίζονται με τον εκάστοτε μισθολογικό νόμο για τις αποδοχές των δικαστικών λειτουργών.</w:t>
      </w:r>
    </w:p>
    <w:p w14:paraId="57B65D72" w14:textId="77777777" w:rsidR="00483603" w:rsidRDefault="00483603" w:rsidP="0048360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</w:pPr>
      <w:r w:rsidRPr="0048360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Αξίζει να σημειωθεί πως</w:t>
      </w:r>
      <w:r w:rsidRPr="0048360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 ο μισθός του Προέδρου του Αρείου Πάγου κυμαίνεται γύρω στις 8.000 ευρώ μηνιαίως. </w:t>
      </w:r>
    </w:p>
    <w:p w14:paraId="36B1E9DD" w14:textId="77777777" w:rsidR="00312243" w:rsidRPr="00312243" w:rsidRDefault="00312243" w:rsidP="00312243">
      <w:pPr>
        <w:shd w:val="clear" w:color="auto" w:fill="FFFFFF"/>
        <w:spacing w:before="720" w:after="360" w:line="570" w:lineRule="atLeast"/>
        <w:outlineLvl w:val="1"/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</w:pPr>
      <w:r w:rsidRPr="00312243"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  <w:t>Η αιτιολογική έκθεση</w:t>
      </w:r>
    </w:p>
    <w:p w14:paraId="626585F9" w14:textId="77777777" w:rsidR="00312243" w:rsidRDefault="00312243" w:rsidP="0031224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Σύμφωνα με την αιτιολογική έκθεση, η προτεινόμενη ρύθμιση κρίνεται απαραίτητη προκειμένου οι αποδοχές των υπουργών, αναπληρωτών υπουργών και υφυπουργών που δεν φέρουν βουλευτική ιδιότητα να βρίσκεται σε</w:t>
      </w:r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 αναλογία με τις από 1ης.1.2024 αυξημένες αποδοχές των ανώτατων στελεχών της δημόσιας διοίκησης</w:t>
      </w:r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.</w:t>
      </w:r>
    </w:p>
    <w:p w14:paraId="44204234" w14:textId="77777777" w:rsidR="0008316A" w:rsidRPr="00312243" w:rsidRDefault="0008316A" w:rsidP="0031224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</w:pPr>
    </w:p>
    <w:p w14:paraId="6BD18542" w14:textId="77777777" w:rsidR="00312243" w:rsidRPr="00312243" w:rsidRDefault="00312243" w:rsidP="00312243">
      <w:pPr>
        <w:shd w:val="clear" w:color="auto" w:fill="FFFFFF"/>
        <w:spacing w:before="720" w:after="360" w:line="570" w:lineRule="atLeast"/>
        <w:outlineLvl w:val="1"/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</w:pPr>
      <w:r w:rsidRPr="00312243"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  <w:t>Οι 18 εξωκοινοβουλευτικοί του Κυριάκου Μητσοτάκη</w:t>
      </w:r>
    </w:p>
    <w:p w14:paraId="5FF23314" w14:textId="77777777" w:rsidR="00312243" w:rsidRPr="00312243" w:rsidRDefault="00312243" w:rsidP="0031224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lastRenderedPageBreak/>
        <w:t>Αξίζει να σημειωθεί πως </w:t>
      </w:r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στο κυβερνητικό σχήμα περιλαμβάνονται 18 κοινοβουλευτικοί υπουργοί, αναπληρωτές και υφυπουργοί</w:t>
      </w:r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.</w:t>
      </w:r>
    </w:p>
    <w:p w14:paraId="699E7B14" w14:textId="77777777" w:rsidR="00312243" w:rsidRPr="00312243" w:rsidRDefault="00312243" w:rsidP="0031224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Έξι εκ των 18 προσώπων, μάλιστα, έχουν αναλάβει το χαρτοφυλάκιο υπουργείων. Πρόκειται για τον</w:t>
      </w:r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 xml:space="preserve"> Γιώργο </w:t>
      </w:r>
      <w:proofErr w:type="spellStart"/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Γεραπετρίτη</w:t>
      </w:r>
      <w:proofErr w:type="spellEnd"/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 (υπουργός Εξωτερικών), τον</w:t>
      </w:r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 xml:space="preserve"> Γιώργο </w:t>
      </w:r>
      <w:proofErr w:type="spellStart"/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Φλωρίδη</w:t>
      </w:r>
      <w:proofErr w:type="spellEnd"/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 (υπουργός Δικαιοσύνης), τη </w:t>
      </w:r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 xml:space="preserve">Λίνα </w:t>
      </w:r>
      <w:proofErr w:type="spellStart"/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Μενδώνη</w:t>
      </w:r>
      <w:proofErr w:type="spellEnd"/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 (υπουργός Πολιτισμού) και τον </w:t>
      </w:r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 xml:space="preserve">Δημήτρη </w:t>
      </w:r>
      <w:proofErr w:type="spellStart"/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Παπαστεργίου</w:t>
      </w:r>
      <w:proofErr w:type="spellEnd"/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 (υπουργός Ψηφιακής Διακυβέρνησης).</w:t>
      </w:r>
    </w:p>
    <w:p w14:paraId="7FE48EEB" w14:textId="77777777" w:rsidR="00312243" w:rsidRPr="00312243" w:rsidRDefault="00312243" w:rsidP="0031224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Παράλληλα, υπουργοί Επικρατείας διατελούν ο</w:t>
      </w:r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 Σταύρος Παπασταύρου</w:t>
      </w:r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 και ο </w:t>
      </w:r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 xml:space="preserve">Άκης </w:t>
      </w:r>
      <w:proofErr w:type="spellStart"/>
      <w:r w:rsidRPr="00312243">
        <w:rPr>
          <w:rFonts w:ascii="Segoe UI" w:eastAsia="Times New Roman" w:hAnsi="Segoe UI" w:cs="Segoe UI"/>
          <w:b/>
          <w:bCs/>
          <w:color w:val="2B2B2B"/>
          <w:kern w:val="0"/>
          <w:sz w:val="26"/>
          <w:szCs w:val="26"/>
          <w:lang w:val="el-GR" w:eastAsia="el-GR"/>
          <w14:ligatures w14:val="none"/>
        </w:rPr>
        <w:t>Σκέρτσος</w:t>
      </w:r>
      <w:proofErr w:type="spellEnd"/>
      <w:r w:rsidRPr="00312243"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  <w:t>.</w:t>
      </w:r>
    </w:p>
    <w:p w14:paraId="7E4BD9B5" w14:textId="77777777" w:rsidR="00312243" w:rsidRPr="00312243" w:rsidRDefault="00312243" w:rsidP="00312243">
      <w:pPr>
        <w:shd w:val="clear" w:color="auto" w:fill="FFFFFF"/>
        <w:spacing w:before="720" w:after="360" w:line="570" w:lineRule="atLeast"/>
        <w:outlineLvl w:val="1"/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</w:pPr>
      <w:r w:rsidRPr="00312243">
        <w:rPr>
          <w:rFonts w:ascii="EB Garamond" w:eastAsia="Times New Roman" w:hAnsi="EB Garamond" w:cs="Times New Roman"/>
          <w:color w:val="2B2B2B"/>
          <w:kern w:val="0"/>
          <w:sz w:val="45"/>
          <w:szCs w:val="45"/>
          <w:lang w:val="el-GR" w:eastAsia="el-GR"/>
          <w14:ligatures w14:val="none"/>
        </w:rPr>
        <w:t>Αναλυτικά οι εξωκοινοβουλευτικοί του Κυριάκου Μητσοτάκη</w:t>
      </w:r>
    </w:p>
    <w:p w14:paraId="3EEBFD33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Υφυπουργός στο υπουργείο Εθνικής Οικονομίας και Οικονομικών: Θάνος Πετραλιάς</w:t>
      </w:r>
    </w:p>
    <w:p w14:paraId="7E5D5E85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Υπουργός Εξωτερικών: Γιώργος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Γεραπετρίτης</w:t>
      </w:r>
      <w:proofErr w:type="spellEnd"/>
    </w:p>
    <w:p w14:paraId="5F002214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Υφυπουργός Εξωτερικών: Αλεξάνδρα Παπαδοπούλου</w:t>
      </w:r>
    </w:p>
    <w:p w14:paraId="23284C95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Υφυπουργός Εξωτερικών: Κώστας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Φραγκογιάννης</w:t>
      </w:r>
      <w:proofErr w:type="spellEnd"/>
    </w:p>
    <w:p w14:paraId="5C0EB882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Αναπληρωτής Υπουργός Εσωτερικών: Θοδωρής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Λιβάνιος</w:t>
      </w:r>
      <w:proofErr w:type="spellEnd"/>
    </w:p>
    <w:p w14:paraId="3BC93EE6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Υφυπουργός Εσωτερικών: Βιβή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Χαλαραμπογιάννη</w:t>
      </w:r>
      <w:proofErr w:type="spellEnd"/>
    </w:p>
    <w:p w14:paraId="327ED812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Υφυπουργός Υπουργείου Υγείας: Μάριος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Θεμιστοκλέους</w:t>
      </w:r>
      <w:proofErr w:type="spellEnd"/>
    </w:p>
    <w:p w14:paraId="4733EE33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Υφυπουργός Υποδομών και Μεταφορών: Νίκος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Ταχιάος</w:t>
      </w:r>
      <w:proofErr w:type="spellEnd"/>
    </w:p>
    <w:p w14:paraId="2E45F531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Υφυπουργός Περιβάλλοντος και Ενέργειας: Αλεξάνδρα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Σδούκου</w:t>
      </w:r>
      <w:proofErr w:type="spellEnd"/>
    </w:p>
    <w:p w14:paraId="4CDC2A66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Υφυπουργός Εργασίας και Κοινωνικής Ασφάλισης: Πάνος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Τσακλόγλου</w:t>
      </w:r>
      <w:proofErr w:type="spellEnd"/>
    </w:p>
    <w:p w14:paraId="35535D7A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Υπουργός Δικαιοσύνης: Γιώργος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Φλωρίδης</w:t>
      </w:r>
      <w:proofErr w:type="spellEnd"/>
    </w:p>
    <w:p w14:paraId="5A35E3AA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Υπουργός Πολιτισμού: Λίνα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Μενδώνη</w:t>
      </w:r>
      <w:proofErr w:type="spellEnd"/>
    </w:p>
    <w:p w14:paraId="606BE27F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lastRenderedPageBreak/>
        <w:t xml:space="preserve">Υπουργός Ψηφιακής Διακυβέρνησης: Δημήτρης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Παπαστεργίου</w:t>
      </w:r>
      <w:proofErr w:type="spellEnd"/>
    </w:p>
    <w:p w14:paraId="25DD1800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Υφυπουργός Κλιματικής Κρίσης και Πολιτικής Προστασίας: Ευάγγελος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Τουρνάς</w:t>
      </w:r>
      <w:proofErr w:type="spellEnd"/>
    </w:p>
    <w:p w14:paraId="2DEE8720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Υπουργός Επικρατείας: Σταύρος Παπασταύρου</w:t>
      </w:r>
    </w:p>
    <w:p w14:paraId="32C2A946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Υπουργός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Επκρατείας</w:t>
      </w:r>
      <w:proofErr w:type="spellEnd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: Άκης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Σκέρτσος</w:t>
      </w:r>
      <w:proofErr w:type="spellEnd"/>
    </w:p>
    <w:p w14:paraId="70E4A351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Υφυπουργός παρά τω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Πρωθυπουργώ</w:t>
      </w:r>
      <w:proofErr w:type="spellEnd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 και Διευθυντής Γραφείου Πρωθυπουργού: Γιάννης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Μπρατάκος</w:t>
      </w:r>
      <w:proofErr w:type="spellEnd"/>
    </w:p>
    <w:p w14:paraId="0E5A3FCF" w14:textId="77777777" w:rsidR="00312243" w:rsidRPr="00312243" w:rsidRDefault="00312243" w:rsidP="00312243">
      <w:pPr>
        <w:numPr>
          <w:ilvl w:val="0"/>
          <w:numId w:val="1"/>
        </w:numPr>
        <w:shd w:val="clear" w:color="auto" w:fill="FFFFFF"/>
        <w:spacing w:before="150" w:after="150" w:line="420" w:lineRule="atLeast"/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</w:pPr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Υφυπουργός παρά τω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Πρωθυπουργώ</w:t>
      </w:r>
      <w:proofErr w:type="spellEnd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 xml:space="preserve">: Θανάσης </w:t>
      </w:r>
      <w:proofErr w:type="spellStart"/>
      <w:r w:rsidRPr="00312243">
        <w:rPr>
          <w:rFonts w:ascii="Segoe UI" w:eastAsia="Times New Roman" w:hAnsi="Segoe UI" w:cs="Segoe UI"/>
          <w:color w:val="2B2B2B"/>
          <w:kern w:val="0"/>
          <w:sz w:val="27"/>
          <w:szCs w:val="27"/>
          <w:lang w:val="el-GR" w:eastAsia="el-GR"/>
          <w14:ligatures w14:val="none"/>
        </w:rPr>
        <w:t>Κοντογεώργης</w:t>
      </w:r>
      <w:proofErr w:type="spellEnd"/>
    </w:p>
    <w:p w14:paraId="381FDBC6" w14:textId="77777777" w:rsidR="00312243" w:rsidRPr="00483603" w:rsidRDefault="00312243" w:rsidP="0048360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B2B2B"/>
          <w:kern w:val="0"/>
          <w:sz w:val="26"/>
          <w:szCs w:val="26"/>
          <w:lang w:val="el-GR" w:eastAsia="el-GR"/>
          <w14:ligatures w14:val="none"/>
        </w:rPr>
      </w:pPr>
    </w:p>
    <w:p w14:paraId="0CA604D5" w14:textId="77777777" w:rsidR="00F44F7F" w:rsidRPr="00483603" w:rsidRDefault="00F44F7F">
      <w:pPr>
        <w:rPr>
          <w:lang w:val="el-GR"/>
        </w:rPr>
      </w:pPr>
    </w:p>
    <w:sectPr w:rsidR="00F44F7F" w:rsidRPr="004836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47A68"/>
    <w:multiLevelType w:val="multilevel"/>
    <w:tmpl w:val="728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79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03"/>
    <w:rsid w:val="0008316A"/>
    <w:rsid w:val="00312243"/>
    <w:rsid w:val="00483603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3BD8"/>
  <w15:chartTrackingRefBased/>
  <w15:docId w15:val="{C3D117D0-80B3-489D-A290-5C6E41B2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3</cp:revision>
  <dcterms:created xsi:type="dcterms:W3CDTF">2023-12-19T20:21:00Z</dcterms:created>
  <dcterms:modified xsi:type="dcterms:W3CDTF">2023-12-19T20:24:00Z</dcterms:modified>
</cp:coreProperties>
</file>